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Устав ПАО «Мосэнерго» в новой редакции в соответствии с Приложением (проект документа включен в состав информации (материалов), предоставляемой </w:t>
      </w: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лицам, имеющим право на участие во внеочередном Общем собрании акционеров ПАО</w:t>
      </w:r>
      <w:r w:rsid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E6389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37A6C793-F440-46CB-9413-7DF6DBF52B58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A8DEA285-95FF-4F00-B46A-35F98443C25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